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XBJ23420142484334482</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b/>
          <w:bCs/>
          <w:sz w:val="32"/>
          <w:szCs w:val="32"/>
          <w:lang w:val="en-US" w:eastAsia="zh-CN"/>
        </w:rPr>
      </w:pPr>
      <w:r>
        <w:rPr>
          <w:rFonts w:hint="eastAsia" w:ascii="黑体" w:hAnsi="黑体" w:eastAsia="黑体"/>
          <w:sz w:val="32"/>
          <w:szCs w:val="32"/>
          <w:lang w:val="en-US" w:eastAsia="zh-CN"/>
        </w:rPr>
        <w:t>武汉东湖新技术开发区熊兰珍蔬菜店销售的生姜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w:t>
      </w:r>
      <w:r>
        <w:rPr>
          <w:rFonts w:hint="eastAsia" w:ascii="Times New Roman" w:hAnsi="Times New Roman" w:eastAsia="仿宋_GB2312" w:cs="仿宋_GB2312"/>
          <w:sz w:val="32"/>
          <w:szCs w:val="32"/>
          <w:lang w:val="en-US" w:eastAsia="zh-CN"/>
        </w:rPr>
        <w:t>023年</w:t>
      </w:r>
      <w:r>
        <w:rPr>
          <w:rFonts w:hint="eastAsia" w:eastAsia="仿宋_GB2312"/>
          <w:sz w:val="32"/>
          <w:szCs w:val="32"/>
          <w:lang w:val="en-US" w:eastAsia="zh-CN"/>
        </w:rPr>
        <w:t>5月12日抽自</w:t>
      </w:r>
      <w:r>
        <w:rPr>
          <w:rFonts w:hint="eastAsia" w:eastAsia="仿宋_GB2312"/>
          <w:b w:val="0"/>
          <w:bCs w:val="0"/>
          <w:sz w:val="32"/>
          <w:szCs w:val="32"/>
          <w:lang w:val="en-US" w:eastAsia="zh-CN"/>
        </w:rPr>
        <w:t>武汉东湖新技术开发区熊兰珍蔬菜店</w:t>
      </w:r>
      <w:r>
        <w:rPr>
          <w:rFonts w:hint="eastAsia" w:eastAsia="仿宋_GB2312"/>
          <w:sz w:val="32"/>
          <w:szCs w:val="32"/>
          <w:lang w:val="en-US" w:eastAsia="zh-CN"/>
        </w:rPr>
        <w:t>销售的生姜</w:t>
      </w:r>
      <w:r>
        <w:rPr>
          <w:rFonts w:hint="eastAsia" w:eastAsia="仿宋_GB2312"/>
          <w:b w:val="0"/>
          <w:bCs w:val="0"/>
          <w:sz w:val="32"/>
          <w:szCs w:val="32"/>
          <w:lang w:val="en-US" w:eastAsia="zh-CN"/>
        </w:rPr>
        <w:t>，经抽样检验，噻虫胺项目不符合 GB 2763-2021《食品安全国家标准 食品中农药最大残留限量》要求，检验结论为不合格。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经查，当事人销售农药残留含量超过食品安全标准限量生姜的行为违反了《食用农产品市场销售质量安全监督管理办法》第二十五条第一款第二项“禁止销售下列食用农产品：（二）致病性微生物、农药残留、兽药残留、生物毒素、重金属等污染物质以及其他危害人体健康的物质含量超过食品安全标准限量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en-US" w:eastAsia="zh-CN"/>
        </w:rPr>
        <w:t>当事人采购该批次生姜时履行了进货查验义务，有充分证据证明其不知道所采购的生姜不符合食品安全标准，案发后积极配合调查，主动提供产地证明、情况说明等证据材料，能够如实说明进货来源，符合《食用农产品市场销售质量安全监督管理办法》第五十四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w:t>
      </w:r>
      <w:bookmarkStart w:id="0" w:name="_GoBack"/>
      <w:bookmarkEnd w:id="0"/>
      <w:r>
        <w:rPr>
          <w:rFonts w:hint="eastAsia" w:eastAsia="仿宋_GB2312"/>
          <w:b w:val="0"/>
          <w:bCs w:val="0"/>
          <w:sz w:val="32"/>
          <w:szCs w:val="32"/>
          <w:lang w:val="en-US" w:eastAsia="zh-CN"/>
        </w:rPr>
        <w:t>偿责任。”规定的免于处罚情形。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b w:val="0"/>
          <w:bCs w:val="0"/>
          <w:sz w:val="32"/>
          <w:szCs w:val="32"/>
          <w:lang w:val="en-US" w:eastAsia="zh-CN"/>
        </w:rPr>
        <w:t>当事人销售农药残留含量超过食品安全标准限量生姜的行为，依据《食用农产品市场销售质量安全监督管理办法》第五十四条“销售者履行了本办法规定的食用农产品进</w:t>
      </w:r>
      <w:r>
        <w:rPr>
          <w:rFonts w:hint="eastAsia" w:eastAsia="仿宋_GB2312"/>
          <w:sz w:val="32"/>
          <w:szCs w:val="32"/>
          <w:lang w:val="en-US" w:eastAsia="zh-CN"/>
        </w:rPr>
        <w:t>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val="en-US" w:eastAsia="zh-CN"/>
        </w:rPr>
        <w:t>我局执法人员对该经营单位进行了全面检查，该单位积极配合调查，</w:t>
      </w:r>
      <w:r>
        <w:rPr>
          <w:rFonts w:hint="eastAsia" w:eastAsia="仿宋_GB2312"/>
          <w:b w:val="0"/>
          <w:bCs w:val="0"/>
          <w:sz w:val="32"/>
          <w:szCs w:val="32"/>
          <w:lang w:val="en-US" w:eastAsia="zh-CN"/>
        </w:rPr>
        <w:t>如实说明涉案产品来源，提供了供货商的《营业执照》</w:t>
      </w:r>
      <w:r>
        <w:rPr>
          <w:rFonts w:hint="eastAsia" w:ascii="Times New Roman" w:hAnsi="Times New Roman" w:eastAsia="仿宋_GB2312" w:cs="仿宋_GB2312"/>
          <w:sz w:val="32"/>
          <w:szCs w:val="32"/>
        </w:rPr>
        <w:t>《</w:t>
      </w:r>
      <w:r>
        <w:rPr>
          <w:rFonts w:hint="eastAsia" w:ascii="仿宋" w:hAnsi="仿宋" w:eastAsia="仿宋" w:cs="仿宋"/>
          <w:color w:val="000000"/>
          <w:kern w:val="0"/>
          <w:sz w:val="32"/>
          <w:szCs w:val="32"/>
          <w:lang w:val="en-US" w:eastAsia="zh-CN"/>
        </w:rPr>
        <w:t>产地证明</w:t>
      </w:r>
      <w:r>
        <w:rPr>
          <w:rFonts w:hint="eastAsia" w:ascii="Times New Roman" w:hAnsi="Times New Roman" w:eastAsia="仿宋_GB2312" w:cs="仿宋_GB2312"/>
          <w:sz w:val="32"/>
          <w:szCs w:val="32"/>
        </w:rPr>
        <w:t>》《</w:t>
      </w:r>
      <w:r>
        <w:rPr>
          <w:rFonts w:hint="eastAsia" w:ascii="仿宋" w:hAnsi="仿宋" w:eastAsia="仿宋" w:cs="仿宋"/>
          <w:color w:val="000000"/>
          <w:kern w:val="0"/>
          <w:sz w:val="32"/>
          <w:szCs w:val="32"/>
          <w:lang w:val="en-US" w:eastAsia="zh-CN"/>
        </w:rPr>
        <w:t>生产者承诺书</w:t>
      </w:r>
      <w:r>
        <w:rPr>
          <w:rFonts w:hint="eastAsia" w:ascii="Times New Roman" w:hAnsi="Times New Roman" w:eastAsia="仿宋_GB2312" w:cs="仿宋_GB2312"/>
          <w:sz w:val="32"/>
          <w:szCs w:val="32"/>
        </w:rPr>
        <w:t>》</w:t>
      </w:r>
      <w:r>
        <w:rPr>
          <w:rFonts w:hint="eastAsia" w:ascii="仿宋" w:hAnsi="仿宋" w:eastAsia="仿宋" w:cs="仿宋"/>
          <w:color w:val="000000"/>
          <w:kern w:val="0"/>
          <w:sz w:val="32"/>
          <w:szCs w:val="32"/>
          <w:lang w:val="en-US" w:eastAsia="zh-CN"/>
        </w:rPr>
        <w:t>、购货凭证</w:t>
      </w:r>
      <w:r>
        <w:rPr>
          <w:rFonts w:hint="eastAsia" w:eastAsia="仿宋_GB2312"/>
          <w:b w:val="0"/>
          <w:bCs w:val="0"/>
          <w:sz w:val="32"/>
          <w:szCs w:val="32"/>
          <w:lang w:val="en-US" w:eastAsia="zh-CN"/>
        </w:rPr>
        <w:t>等相关证明文件</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2023</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20</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DD1107"/>
    <w:rsid w:val="01F621E6"/>
    <w:rsid w:val="03195FD7"/>
    <w:rsid w:val="03A36F29"/>
    <w:rsid w:val="03D91B06"/>
    <w:rsid w:val="049322AC"/>
    <w:rsid w:val="057D79C0"/>
    <w:rsid w:val="05E42A13"/>
    <w:rsid w:val="05EE1062"/>
    <w:rsid w:val="05F91121"/>
    <w:rsid w:val="061838FB"/>
    <w:rsid w:val="06A42B48"/>
    <w:rsid w:val="06A7211B"/>
    <w:rsid w:val="0733359A"/>
    <w:rsid w:val="07862CB6"/>
    <w:rsid w:val="07883506"/>
    <w:rsid w:val="079414C1"/>
    <w:rsid w:val="07F20132"/>
    <w:rsid w:val="08543D87"/>
    <w:rsid w:val="08FA46E1"/>
    <w:rsid w:val="09C70100"/>
    <w:rsid w:val="09F105B3"/>
    <w:rsid w:val="0A0D17E8"/>
    <w:rsid w:val="0A2819F5"/>
    <w:rsid w:val="0A2C33EF"/>
    <w:rsid w:val="0AAD2736"/>
    <w:rsid w:val="0BE00729"/>
    <w:rsid w:val="0C660740"/>
    <w:rsid w:val="0CD27E67"/>
    <w:rsid w:val="0D7231BC"/>
    <w:rsid w:val="0DBB3146"/>
    <w:rsid w:val="0E3623AE"/>
    <w:rsid w:val="0E562FC0"/>
    <w:rsid w:val="0EFE518C"/>
    <w:rsid w:val="0F812DD5"/>
    <w:rsid w:val="0F844CC6"/>
    <w:rsid w:val="0FFD229E"/>
    <w:rsid w:val="1078223F"/>
    <w:rsid w:val="11EE54F1"/>
    <w:rsid w:val="13802757"/>
    <w:rsid w:val="1391711A"/>
    <w:rsid w:val="13AD648F"/>
    <w:rsid w:val="1428264A"/>
    <w:rsid w:val="14730B6E"/>
    <w:rsid w:val="1482444C"/>
    <w:rsid w:val="14EF471F"/>
    <w:rsid w:val="158F59EA"/>
    <w:rsid w:val="15C50DAE"/>
    <w:rsid w:val="178222B0"/>
    <w:rsid w:val="184A0D05"/>
    <w:rsid w:val="18665D95"/>
    <w:rsid w:val="188F7B75"/>
    <w:rsid w:val="19C176CF"/>
    <w:rsid w:val="19C66458"/>
    <w:rsid w:val="1A427F7D"/>
    <w:rsid w:val="1AC66F8E"/>
    <w:rsid w:val="1B434036"/>
    <w:rsid w:val="1B4F33EC"/>
    <w:rsid w:val="1B765E75"/>
    <w:rsid w:val="1C4B29B0"/>
    <w:rsid w:val="1C543D53"/>
    <w:rsid w:val="1D24089D"/>
    <w:rsid w:val="1E0E3CEC"/>
    <w:rsid w:val="1E7E1981"/>
    <w:rsid w:val="1ECD3F97"/>
    <w:rsid w:val="1FC760DA"/>
    <w:rsid w:val="206814FD"/>
    <w:rsid w:val="20C64A1E"/>
    <w:rsid w:val="2171516D"/>
    <w:rsid w:val="21DF7E38"/>
    <w:rsid w:val="220F251D"/>
    <w:rsid w:val="22712A2C"/>
    <w:rsid w:val="22977D4A"/>
    <w:rsid w:val="229F5E55"/>
    <w:rsid w:val="22FD3125"/>
    <w:rsid w:val="2328484F"/>
    <w:rsid w:val="23945A72"/>
    <w:rsid w:val="23DF1901"/>
    <w:rsid w:val="240D6649"/>
    <w:rsid w:val="24964711"/>
    <w:rsid w:val="24D859AE"/>
    <w:rsid w:val="24F37810"/>
    <w:rsid w:val="255E3C5E"/>
    <w:rsid w:val="259D1595"/>
    <w:rsid w:val="263B040A"/>
    <w:rsid w:val="2644262F"/>
    <w:rsid w:val="272B0385"/>
    <w:rsid w:val="272F5A50"/>
    <w:rsid w:val="28BD5493"/>
    <w:rsid w:val="28E7314A"/>
    <w:rsid w:val="28E750BB"/>
    <w:rsid w:val="294560D8"/>
    <w:rsid w:val="297F6074"/>
    <w:rsid w:val="2A750F77"/>
    <w:rsid w:val="2B8F3E3B"/>
    <w:rsid w:val="2D9177AD"/>
    <w:rsid w:val="2D98535F"/>
    <w:rsid w:val="2EAA3276"/>
    <w:rsid w:val="2EB96CAB"/>
    <w:rsid w:val="2F01285B"/>
    <w:rsid w:val="2F5614BD"/>
    <w:rsid w:val="2F64349D"/>
    <w:rsid w:val="2FFF34B3"/>
    <w:rsid w:val="304C4EB0"/>
    <w:rsid w:val="309E0133"/>
    <w:rsid w:val="312F1C8F"/>
    <w:rsid w:val="31AE616A"/>
    <w:rsid w:val="31D4617D"/>
    <w:rsid w:val="322C0E36"/>
    <w:rsid w:val="327E050D"/>
    <w:rsid w:val="32FB7FC6"/>
    <w:rsid w:val="33C13BA1"/>
    <w:rsid w:val="34A51972"/>
    <w:rsid w:val="34AC246F"/>
    <w:rsid w:val="34B3770A"/>
    <w:rsid w:val="35E37025"/>
    <w:rsid w:val="35EA1101"/>
    <w:rsid w:val="36F16073"/>
    <w:rsid w:val="373527DC"/>
    <w:rsid w:val="37A40015"/>
    <w:rsid w:val="38181E92"/>
    <w:rsid w:val="385D0C07"/>
    <w:rsid w:val="38645639"/>
    <w:rsid w:val="387E6AF9"/>
    <w:rsid w:val="38CC5375"/>
    <w:rsid w:val="3A200389"/>
    <w:rsid w:val="3A6C0903"/>
    <w:rsid w:val="3AFA5077"/>
    <w:rsid w:val="3B770B56"/>
    <w:rsid w:val="3D005A45"/>
    <w:rsid w:val="3D4E4434"/>
    <w:rsid w:val="3D5C0252"/>
    <w:rsid w:val="3DD75AE4"/>
    <w:rsid w:val="3DE752B1"/>
    <w:rsid w:val="3E5962C4"/>
    <w:rsid w:val="3EA11623"/>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9D3BAC"/>
    <w:rsid w:val="45B15B6F"/>
    <w:rsid w:val="45B83BE3"/>
    <w:rsid w:val="45C70991"/>
    <w:rsid w:val="46FE04A5"/>
    <w:rsid w:val="47DF5990"/>
    <w:rsid w:val="4801155E"/>
    <w:rsid w:val="484375F2"/>
    <w:rsid w:val="484F63F4"/>
    <w:rsid w:val="492300F2"/>
    <w:rsid w:val="4932086F"/>
    <w:rsid w:val="49BE5F57"/>
    <w:rsid w:val="4A0F4C6E"/>
    <w:rsid w:val="4A872286"/>
    <w:rsid w:val="4B171876"/>
    <w:rsid w:val="4B2D3BB3"/>
    <w:rsid w:val="4B7F2071"/>
    <w:rsid w:val="4C0A2CAF"/>
    <w:rsid w:val="4CF36C10"/>
    <w:rsid w:val="4D3F3966"/>
    <w:rsid w:val="4D674042"/>
    <w:rsid w:val="4D714B56"/>
    <w:rsid w:val="4DB869DC"/>
    <w:rsid w:val="4EBB20E8"/>
    <w:rsid w:val="4ED6150F"/>
    <w:rsid w:val="4F0C246E"/>
    <w:rsid w:val="4F320217"/>
    <w:rsid w:val="4F5B2592"/>
    <w:rsid w:val="4F7030C8"/>
    <w:rsid w:val="501A2DA6"/>
    <w:rsid w:val="50206532"/>
    <w:rsid w:val="50E922F5"/>
    <w:rsid w:val="51BB7405"/>
    <w:rsid w:val="51C163D9"/>
    <w:rsid w:val="52181561"/>
    <w:rsid w:val="52612E80"/>
    <w:rsid w:val="536C718F"/>
    <w:rsid w:val="53751EBA"/>
    <w:rsid w:val="54182D6F"/>
    <w:rsid w:val="543D151C"/>
    <w:rsid w:val="544C19ED"/>
    <w:rsid w:val="544D66DA"/>
    <w:rsid w:val="54987538"/>
    <w:rsid w:val="54CA7311"/>
    <w:rsid w:val="552451EA"/>
    <w:rsid w:val="56C22E2C"/>
    <w:rsid w:val="575E3016"/>
    <w:rsid w:val="591B75F7"/>
    <w:rsid w:val="5945486B"/>
    <w:rsid w:val="5A087442"/>
    <w:rsid w:val="5A946F21"/>
    <w:rsid w:val="5A9D7A40"/>
    <w:rsid w:val="5B156D38"/>
    <w:rsid w:val="5B702303"/>
    <w:rsid w:val="5C3C1AB3"/>
    <w:rsid w:val="5CED2007"/>
    <w:rsid w:val="5D082CDF"/>
    <w:rsid w:val="5DB73809"/>
    <w:rsid w:val="5DE867AE"/>
    <w:rsid w:val="5ED86461"/>
    <w:rsid w:val="5EFE71D2"/>
    <w:rsid w:val="5F0F0FBD"/>
    <w:rsid w:val="5F33496A"/>
    <w:rsid w:val="5F5E2CAF"/>
    <w:rsid w:val="5F726AFE"/>
    <w:rsid w:val="5FC9335B"/>
    <w:rsid w:val="5FDE5B8E"/>
    <w:rsid w:val="601F638E"/>
    <w:rsid w:val="60923385"/>
    <w:rsid w:val="60B078BF"/>
    <w:rsid w:val="610D1C2D"/>
    <w:rsid w:val="61C14574"/>
    <w:rsid w:val="621A2951"/>
    <w:rsid w:val="62210286"/>
    <w:rsid w:val="627F35C8"/>
    <w:rsid w:val="63B77699"/>
    <w:rsid w:val="64D14761"/>
    <w:rsid w:val="65514F2C"/>
    <w:rsid w:val="657764EA"/>
    <w:rsid w:val="65A65B15"/>
    <w:rsid w:val="65D74FB3"/>
    <w:rsid w:val="66050144"/>
    <w:rsid w:val="66112CBE"/>
    <w:rsid w:val="66483949"/>
    <w:rsid w:val="668D6B97"/>
    <w:rsid w:val="68472ABA"/>
    <w:rsid w:val="694538AF"/>
    <w:rsid w:val="69CB2E9E"/>
    <w:rsid w:val="6AB1492D"/>
    <w:rsid w:val="6AED2300"/>
    <w:rsid w:val="6B2E6296"/>
    <w:rsid w:val="6B425AF6"/>
    <w:rsid w:val="6B5253E6"/>
    <w:rsid w:val="6C4E1DC6"/>
    <w:rsid w:val="6CE23C89"/>
    <w:rsid w:val="6D5676EC"/>
    <w:rsid w:val="6D8F7206"/>
    <w:rsid w:val="6E4D4A90"/>
    <w:rsid w:val="6EB14834"/>
    <w:rsid w:val="6F7B7803"/>
    <w:rsid w:val="70F42CBC"/>
    <w:rsid w:val="7184039E"/>
    <w:rsid w:val="71E421CB"/>
    <w:rsid w:val="726807DE"/>
    <w:rsid w:val="736132AD"/>
    <w:rsid w:val="73D768A8"/>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BF118C"/>
    <w:rsid w:val="79E5652D"/>
    <w:rsid w:val="7A0803AC"/>
    <w:rsid w:val="7B5D411E"/>
    <w:rsid w:val="7BE8031C"/>
    <w:rsid w:val="7C5477FF"/>
    <w:rsid w:val="7D111FAE"/>
    <w:rsid w:val="7D186EC0"/>
    <w:rsid w:val="7DC71A4D"/>
    <w:rsid w:val="7DE7687B"/>
    <w:rsid w:val="7E1E409F"/>
    <w:rsid w:val="7E924B51"/>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2023-08-11T07:03:00Z</cp:lastPrinted>
  <dcterms:modified xsi:type="dcterms:W3CDTF">2023-12-20T08:13:14Z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